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745B4" w14:textId="534B93A9" w:rsidR="00E92A75" w:rsidRDefault="00235E4B" w:rsidP="00E92A75">
      <w:pPr>
        <w:pStyle w:val="Textkrper3"/>
        <w:spacing w:line="240" w:lineRule="auto"/>
        <w:ind w:right="-1"/>
        <w:rPr>
          <w:rFonts w:ascii="Arial" w:hAnsi="Arial" w:cs="Arial"/>
          <w:b/>
          <w:sz w:val="36"/>
          <w:szCs w:val="36"/>
        </w:rPr>
      </w:pPr>
      <w:bookmarkStart w:id="0" w:name="_Hlk42166793"/>
      <w:bookmarkStart w:id="1" w:name="_GoBack"/>
      <w:bookmarkEnd w:id="1"/>
      <w:r>
        <w:rPr>
          <w:rFonts w:ascii="Arial" w:hAnsi="Arial" w:cs="Arial"/>
          <w:b/>
          <w:sz w:val="36"/>
          <w:szCs w:val="36"/>
        </w:rPr>
        <w:t xml:space="preserve">Durchführungsbestimmungen für </w:t>
      </w:r>
      <w:r w:rsidR="00E92A75" w:rsidRPr="00020274">
        <w:rPr>
          <w:rFonts w:ascii="Arial" w:hAnsi="Arial" w:cs="Arial"/>
          <w:b/>
          <w:sz w:val="36"/>
          <w:szCs w:val="36"/>
        </w:rPr>
        <w:t xml:space="preserve"> </w:t>
      </w:r>
    </w:p>
    <w:p w14:paraId="2999ECA0" w14:textId="160747B7" w:rsidR="00E92A75" w:rsidRPr="00020274" w:rsidRDefault="00235E4B" w:rsidP="00E92A75">
      <w:pPr>
        <w:pStyle w:val="Textkrper3"/>
        <w:spacing w:line="240" w:lineRule="auto"/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den </w:t>
      </w:r>
      <w:r w:rsidR="00385B2D">
        <w:rPr>
          <w:rFonts w:ascii="Arial" w:hAnsi="Arial" w:cs="Arial"/>
          <w:b/>
          <w:sz w:val="36"/>
          <w:szCs w:val="36"/>
        </w:rPr>
        <w:t>Wettspiel- und Turnierbetrieb</w:t>
      </w:r>
    </w:p>
    <w:p w14:paraId="5CAF4D69" w14:textId="77777777" w:rsidR="00E92A75" w:rsidRDefault="00E92A75" w:rsidP="00E92A75">
      <w:pPr>
        <w:jc w:val="both"/>
        <w:rPr>
          <w:rFonts w:ascii="Arial" w:hAnsi="Arial" w:cs="Arial"/>
        </w:rPr>
      </w:pPr>
    </w:p>
    <w:p w14:paraId="18A02BB5" w14:textId="0F7E3268" w:rsidR="00E92A75" w:rsidRPr="00E92A75" w:rsidRDefault="00E92A75" w:rsidP="00E92A75">
      <w:p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Der Hessische Tennis-Verband e.V., hat zur Durchführung des Freiluft-</w:t>
      </w:r>
      <w:r w:rsidR="00385B2D">
        <w:rPr>
          <w:rFonts w:ascii="Arial" w:hAnsi="Arial" w:cs="Arial"/>
        </w:rPr>
        <w:t>Wettspiel- und Turnierbetriebs</w:t>
      </w:r>
      <w:r w:rsidRPr="00E92A75">
        <w:rPr>
          <w:rFonts w:ascii="Arial" w:hAnsi="Arial" w:cs="Arial"/>
        </w:rPr>
        <w:t xml:space="preserve"> in der Sommersaison 2020 ab dem 1</w:t>
      </w:r>
      <w:r w:rsidR="00CD30D9">
        <w:rPr>
          <w:rFonts w:ascii="Arial" w:hAnsi="Arial" w:cs="Arial"/>
        </w:rPr>
        <w:t>1</w:t>
      </w:r>
      <w:r w:rsidRPr="00E92A75">
        <w:rPr>
          <w:rFonts w:ascii="Arial" w:hAnsi="Arial" w:cs="Arial"/>
        </w:rPr>
        <w:t>.06.2020 d</w:t>
      </w:r>
      <w:r w:rsidR="00235E4B">
        <w:rPr>
          <w:rFonts w:ascii="Arial" w:hAnsi="Arial" w:cs="Arial"/>
        </w:rPr>
        <w:t>ie nachfolgenden Durchführungsbestimmungen</w:t>
      </w:r>
      <w:r w:rsidRPr="00E92A75">
        <w:rPr>
          <w:rFonts w:ascii="Arial" w:hAnsi="Arial" w:cs="Arial"/>
        </w:rPr>
        <w:t xml:space="preserve"> auf der Grundlage der aktuell gültigen </w:t>
      </w:r>
      <w:proofErr w:type="spellStart"/>
      <w:r w:rsidRPr="00E92A75">
        <w:rPr>
          <w:rFonts w:ascii="Arial" w:hAnsi="Arial" w:cs="Arial"/>
        </w:rPr>
        <w:t>Coronaschutzverordnung</w:t>
      </w:r>
      <w:proofErr w:type="spellEnd"/>
      <w:r w:rsidRPr="00E92A75">
        <w:rPr>
          <w:rFonts w:ascii="Arial" w:hAnsi="Arial" w:cs="Arial"/>
        </w:rPr>
        <w:t xml:space="preserve"> </w:t>
      </w:r>
      <w:r w:rsidR="004D3872">
        <w:rPr>
          <w:rFonts w:ascii="Arial" w:hAnsi="Arial" w:cs="Arial"/>
        </w:rPr>
        <w:t>(</w:t>
      </w:r>
      <w:proofErr w:type="spellStart"/>
      <w:r w:rsidR="004D3872" w:rsidRPr="00E92A75">
        <w:rPr>
          <w:rFonts w:ascii="Arial" w:hAnsi="Arial" w:cs="Arial"/>
        </w:rPr>
        <w:t>CorSchVO</w:t>
      </w:r>
      <w:proofErr w:type="spellEnd"/>
      <w:r w:rsidR="004D3872">
        <w:rPr>
          <w:rFonts w:ascii="Arial" w:hAnsi="Arial" w:cs="Arial"/>
        </w:rPr>
        <w:t xml:space="preserve">) </w:t>
      </w:r>
      <w:r w:rsidRPr="00E92A75">
        <w:rPr>
          <w:rFonts w:ascii="Arial" w:hAnsi="Arial" w:cs="Arial"/>
        </w:rPr>
        <w:t xml:space="preserve">erstellt. Die Umsetzung </w:t>
      </w:r>
      <w:r w:rsidR="00235E4B">
        <w:rPr>
          <w:rFonts w:ascii="Arial" w:hAnsi="Arial" w:cs="Arial"/>
        </w:rPr>
        <w:t>i</w:t>
      </w:r>
      <w:r w:rsidRPr="00E92A75">
        <w:rPr>
          <w:rFonts w:ascii="Arial" w:hAnsi="Arial" w:cs="Arial"/>
        </w:rPr>
        <w:t xml:space="preserve">st für alle am </w:t>
      </w:r>
      <w:r w:rsidR="00385B2D">
        <w:rPr>
          <w:rFonts w:ascii="Arial" w:hAnsi="Arial" w:cs="Arial"/>
        </w:rPr>
        <w:t>Wettspiel- und Turnierbetrieb- und Turnier</w:t>
      </w:r>
      <w:r w:rsidRPr="00E92A75">
        <w:rPr>
          <w:rFonts w:ascii="Arial" w:hAnsi="Arial" w:cs="Arial"/>
        </w:rPr>
        <w:t>betrieb teilnehmenden Vereine</w:t>
      </w:r>
      <w:r w:rsidR="00385B2D">
        <w:rPr>
          <w:rFonts w:ascii="Arial" w:hAnsi="Arial" w:cs="Arial"/>
        </w:rPr>
        <w:t xml:space="preserve"> und Personen</w:t>
      </w:r>
      <w:r w:rsidRPr="00E92A75">
        <w:rPr>
          <w:rFonts w:ascii="Arial" w:hAnsi="Arial" w:cs="Arial"/>
        </w:rPr>
        <w:t xml:space="preserve"> verbindlich. </w:t>
      </w:r>
      <w:r w:rsidR="00385B2D">
        <w:rPr>
          <w:rFonts w:ascii="Arial" w:hAnsi="Arial" w:cs="Arial"/>
        </w:rPr>
        <w:t xml:space="preserve">Sie </w:t>
      </w:r>
      <w:r w:rsidRPr="00E92A75">
        <w:rPr>
          <w:rFonts w:ascii="Arial" w:hAnsi="Arial" w:cs="Arial"/>
        </w:rPr>
        <w:t xml:space="preserve">erklären mit der Teilnahme am </w:t>
      </w:r>
      <w:r w:rsidR="00385B2D">
        <w:rPr>
          <w:rFonts w:ascii="Arial" w:hAnsi="Arial" w:cs="Arial"/>
        </w:rPr>
        <w:t>Wettspiel- und Turnierbetrieb</w:t>
      </w:r>
      <w:r w:rsidR="00BC4F8B">
        <w:rPr>
          <w:rFonts w:ascii="Arial" w:hAnsi="Arial" w:cs="Arial"/>
        </w:rPr>
        <w:t xml:space="preserve"> </w:t>
      </w:r>
      <w:r w:rsidRPr="00E92A75">
        <w:rPr>
          <w:rFonts w:ascii="Arial" w:hAnsi="Arial" w:cs="Arial"/>
        </w:rPr>
        <w:t>ihr Einverständnis zur Umsetzung der Vorgaben.</w:t>
      </w:r>
    </w:p>
    <w:p w14:paraId="37EF4D30" w14:textId="77777777" w:rsidR="00E92A75" w:rsidRPr="00E92A75" w:rsidRDefault="00E92A75" w:rsidP="00E92A75">
      <w:pPr>
        <w:jc w:val="both"/>
        <w:rPr>
          <w:rFonts w:ascii="Arial" w:hAnsi="Arial" w:cs="Arial"/>
        </w:rPr>
      </w:pPr>
    </w:p>
    <w:p w14:paraId="7270F55E" w14:textId="108A626E" w:rsidR="00E92A75" w:rsidRPr="00E92A75" w:rsidRDefault="00E92A75" w:rsidP="00E92A75">
      <w:pPr>
        <w:jc w:val="both"/>
        <w:rPr>
          <w:rFonts w:ascii="Arial" w:hAnsi="Arial" w:cs="Arial"/>
          <w:b/>
        </w:rPr>
      </w:pPr>
      <w:r w:rsidRPr="00E92A75">
        <w:rPr>
          <w:rFonts w:ascii="Arial" w:hAnsi="Arial" w:cs="Arial"/>
          <w:b/>
        </w:rPr>
        <w:t>1. Benennung einer Person zur Einhaltung der Regeln</w:t>
      </w:r>
    </w:p>
    <w:p w14:paraId="6F931716" w14:textId="162B2983" w:rsidR="00235E4B" w:rsidRPr="00235E4B" w:rsidRDefault="00235E4B" w:rsidP="00235E4B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235E4B">
        <w:rPr>
          <w:rFonts w:ascii="Arial" w:hAnsi="Arial" w:cs="Arial"/>
        </w:rPr>
        <w:t>Jeder Verein sollte einen Corona-Beauftragten zur Sicherstellung aller Vorgaben benennen. Der Corona-Beauftragte des Vereins ist die Anlaufstelle für alle Fragen der Mitglieder. Seine Kontaktdaten müssen dementsprechend im Vorhinein kommuniziert werden.</w:t>
      </w:r>
    </w:p>
    <w:p w14:paraId="05BDD536" w14:textId="03EA3741" w:rsidR="00E92A75" w:rsidRPr="00E92A75" w:rsidRDefault="00E92A75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 xml:space="preserve">Am jeweiligen </w:t>
      </w:r>
      <w:r w:rsidR="00385B2D">
        <w:rPr>
          <w:rFonts w:ascii="Arial" w:hAnsi="Arial" w:cs="Arial"/>
        </w:rPr>
        <w:t>Wettspiel- und Turnierbetriebs</w:t>
      </w:r>
      <w:r w:rsidRPr="00E92A75">
        <w:rPr>
          <w:rFonts w:ascii="Arial" w:hAnsi="Arial" w:cs="Arial"/>
        </w:rPr>
        <w:t>tag kann er die Zuständigkeit für die Umsetzung und Durchsetzung auf den Mannschaftsführer der Heimmannschaft delegieren. Die benannte Person entscheidet bei Meinungsverschiedenheiten sofort und allein.</w:t>
      </w:r>
    </w:p>
    <w:p w14:paraId="5EA93CCD" w14:textId="77777777" w:rsidR="00E92A75" w:rsidRPr="00E92A75" w:rsidRDefault="00E92A75" w:rsidP="00E92A75">
      <w:pPr>
        <w:jc w:val="both"/>
        <w:rPr>
          <w:rFonts w:ascii="Arial" w:hAnsi="Arial" w:cs="Arial"/>
        </w:rPr>
      </w:pPr>
    </w:p>
    <w:p w14:paraId="1D8E698E" w14:textId="60AA27CB" w:rsidR="00E92A75" w:rsidRPr="00E92A75" w:rsidRDefault="00E92A75" w:rsidP="00E92A75">
      <w:pPr>
        <w:jc w:val="both"/>
        <w:rPr>
          <w:rFonts w:ascii="Arial" w:hAnsi="Arial" w:cs="Arial"/>
          <w:b/>
        </w:rPr>
      </w:pPr>
      <w:r w:rsidRPr="00E92A75">
        <w:rPr>
          <w:rFonts w:ascii="Arial" w:hAnsi="Arial" w:cs="Arial"/>
          <w:b/>
        </w:rPr>
        <w:t xml:space="preserve">2. Berechtigungen zur Teilnahme an einem </w:t>
      </w:r>
      <w:r w:rsidR="00385B2D">
        <w:rPr>
          <w:rFonts w:ascii="Arial" w:hAnsi="Arial" w:cs="Arial"/>
          <w:b/>
        </w:rPr>
        <w:t>Wettspiel- und Turnierbetrieb</w:t>
      </w:r>
    </w:p>
    <w:p w14:paraId="7B742155" w14:textId="54D316E8" w:rsidR="00E92A75" w:rsidRPr="00E92A75" w:rsidRDefault="00E92A75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 xml:space="preserve">Die </w:t>
      </w:r>
      <w:proofErr w:type="spellStart"/>
      <w:r w:rsidRPr="00E92A75">
        <w:rPr>
          <w:rFonts w:ascii="Arial" w:hAnsi="Arial" w:cs="Arial"/>
        </w:rPr>
        <w:t>TeilnehmerInnen</w:t>
      </w:r>
      <w:proofErr w:type="spellEnd"/>
      <w:r w:rsidRPr="00E92A75">
        <w:rPr>
          <w:rFonts w:ascii="Arial" w:hAnsi="Arial" w:cs="Arial"/>
        </w:rPr>
        <w:t xml:space="preserve"> der </w:t>
      </w:r>
      <w:r w:rsidR="00385B2D">
        <w:rPr>
          <w:rFonts w:ascii="Arial" w:hAnsi="Arial" w:cs="Arial"/>
        </w:rPr>
        <w:t>Wettspiel- und Turnierbetrieb</w:t>
      </w:r>
      <w:r w:rsidRPr="00E92A75">
        <w:rPr>
          <w:rFonts w:ascii="Arial" w:hAnsi="Arial" w:cs="Arial"/>
        </w:rPr>
        <w:t>e sind von den Vereinen im Vorhinein über die Schutzmaßnahmen zu informieren.</w:t>
      </w:r>
    </w:p>
    <w:p w14:paraId="312FB549" w14:textId="68BD9811" w:rsidR="00E92A75" w:rsidRPr="00E92A75" w:rsidRDefault="00E92A75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 xml:space="preserve">An den </w:t>
      </w:r>
      <w:r w:rsidR="00385B2D">
        <w:rPr>
          <w:rFonts w:ascii="Arial" w:hAnsi="Arial" w:cs="Arial"/>
        </w:rPr>
        <w:t>Wettspiel- und Turnierbetrieb</w:t>
      </w:r>
      <w:r w:rsidRPr="00E92A75">
        <w:rPr>
          <w:rFonts w:ascii="Arial" w:hAnsi="Arial" w:cs="Arial"/>
        </w:rPr>
        <w:t xml:space="preserve">en sind nur solche </w:t>
      </w:r>
      <w:proofErr w:type="spellStart"/>
      <w:r w:rsidRPr="00E92A75">
        <w:rPr>
          <w:rFonts w:ascii="Arial" w:hAnsi="Arial" w:cs="Arial"/>
        </w:rPr>
        <w:t>TeilnehmerInnen</w:t>
      </w:r>
      <w:proofErr w:type="spellEnd"/>
      <w:r w:rsidRPr="00E92A75">
        <w:rPr>
          <w:rFonts w:ascii="Arial" w:hAnsi="Arial" w:cs="Arial"/>
        </w:rPr>
        <w:t xml:space="preserve"> zur Teilnahme berechtigt, die keine Symptome von Atemwegserkrankungen und Erkältungssymptomen aufweisen.</w:t>
      </w:r>
    </w:p>
    <w:p w14:paraId="0E4A91A8" w14:textId="77777777" w:rsidR="00E92A75" w:rsidRPr="00E92A75" w:rsidRDefault="00E92A75" w:rsidP="00E92A75">
      <w:pPr>
        <w:jc w:val="both"/>
        <w:rPr>
          <w:rFonts w:ascii="Arial" w:hAnsi="Arial" w:cs="Arial"/>
        </w:rPr>
      </w:pPr>
    </w:p>
    <w:p w14:paraId="5DC28F3B" w14:textId="5C69D13D" w:rsidR="00E92A75" w:rsidRPr="00E92A75" w:rsidRDefault="00E92A75" w:rsidP="00E92A75">
      <w:pPr>
        <w:jc w:val="both"/>
        <w:rPr>
          <w:rFonts w:ascii="Arial" w:hAnsi="Arial" w:cs="Arial"/>
          <w:b/>
        </w:rPr>
      </w:pPr>
      <w:r w:rsidRPr="00E92A75">
        <w:rPr>
          <w:rFonts w:ascii="Arial" w:hAnsi="Arial" w:cs="Arial"/>
          <w:b/>
        </w:rPr>
        <w:t xml:space="preserve">3. Abstandsgebot auf dem Vereinsgelände beim </w:t>
      </w:r>
      <w:r w:rsidR="00385B2D">
        <w:rPr>
          <w:rFonts w:ascii="Arial" w:hAnsi="Arial" w:cs="Arial"/>
          <w:b/>
        </w:rPr>
        <w:t>Wettspiel- und Turnierbetrieb</w:t>
      </w:r>
    </w:p>
    <w:p w14:paraId="0BFDA2ED" w14:textId="552D2C0B" w:rsidR="00E92A75" w:rsidRPr="00E92A75" w:rsidRDefault="00E92A75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 xml:space="preserve">Der Mindestabstand der anwesenden </w:t>
      </w:r>
      <w:proofErr w:type="spellStart"/>
      <w:r w:rsidRPr="00E92A75">
        <w:rPr>
          <w:rFonts w:ascii="Arial" w:hAnsi="Arial" w:cs="Arial"/>
        </w:rPr>
        <w:t>TeilnehmerInnen</w:t>
      </w:r>
      <w:proofErr w:type="spellEnd"/>
      <w:r w:rsidRPr="00E92A75">
        <w:rPr>
          <w:rFonts w:ascii="Arial" w:hAnsi="Arial" w:cs="Arial"/>
        </w:rPr>
        <w:t xml:space="preserve"> von mindestens 1,5</w:t>
      </w:r>
      <w:r>
        <w:rPr>
          <w:rFonts w:ascii="Arial" w:hAnsi="Arial" w:cs="Arial"/>
        </w:rPr>
        <w:t>0</w:t>
      </w:r>
      <w:r w:rsidRPr="00E92A75">
        <w:rPr>
          <w:rFonts w:ascii="Arial" w:hAnsi="Arial" w:cs="Arial"/>
        </w:rPr>
        <w:t xml:space="preserve"> m muss durchgängig, beim Betreten und Verlassen</w:t>
      </w:r>
      <w:r w:rsidR="00600EE4">
        <w:rPr>
          <w:rFonts w:ascii="Arial" w:hAnsi="Arial" w:cs="Arial"/>
        </w:rPr>
        <w:t xml:space="preserve"> </w:t>
      </w:r>
      <w:r w:rsidRPr="00E92A75">
        <w:rPr>
          <w:rFonts w:ascii="Arial" w:hAnsi="Arial" w:cs="Arial"/>
        </w:rPr>
        <w:t>der Anlage, des Platzes, beim Seitenwechsel und in den Pausen eingehalten werden.</w:t>
      </w:r>
    </w:p>
    <w:p w14:paraId="1C60256F" w14:textId="77777777" w:rsidR="00E92A75" w:rsidRPr="00E92A75" w:rsidRDefault="00E92A75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Zur Gewährleistung der Abstandsregel sind folgende Maßnahmen verbindlich umzusetzen:</w:t>
      </w:r>
    </w:p>
    <w:p w14:paraId="2F88C3CE" w14:textId="77777777" w:rsidR="00E92A75" w:rsidRPr="00E92A75" w:rsidRDefault="00E92A75" w:rsidP="00E92A75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Die Spielerbänke auf den Plätzen müssen in einem Abstand von mindestens 1,50 m auseinander stehen.</w:t>
      </w:r>
    </w:p>
    <w:p w14:paraId="2CCC7D52" w14:textId="77777777" w:rsidR="00E92A75" w:rsidRPr="00E92A75" w:rsidRDefault="00E92A75" w:rsidP="00E92A75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 xml:space="preserve">Es sind ausreichend Sitzgelegenheiten auf den Plätzen vorzusehen, die in den Pausen einen Abstand von 1,50 m für die </w:t>
      </w:r>
      <w:proofErr w:type="spellStart"/>
      <w:r w:rsidRPr="00E92A75">
        <w:rPr>
          <w:rFonts w:ascii="Arial" w:hAnsi="Arial" w:cs="Arial"/>
        </w:rPr>
        <w:t>SpielerInnen</w:t>
      </w:r>
      <w:proofErr w:type="spellEnd"/>
      <w:r w:rsidRPr="00E92A75">
        <w:rPr>
          <w:rFonts w:ascii="Arial" w:hAnsi="Arial" w:cs="Arial"/>
        </w:rPr>
        <w:t xml:space="preserve"> gewährleisten.</w:t>
      </w:r>
    </w:p>
    <w:p w14:paraId="3BF07134" w14:textId="52AD35D8" w:rsidR="00E92A75" w:rsidRPr="00E92A75" w:rsidRDefault="00E92A75" w:rsidP="00E92A75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 xml:space="preserve">Der Heimverein sorgt für den gesamten Ablauf des </w:t>
      </w:r>
      <w:r w:rsidR="00385B2D">
        <w:rPr>
          <w:rFonts w:ascii="Arial" w:hAnsi="Arial" w:cs="Arial"/>
        </w:rPr>
        <w:t>Wettspiel- und Turnierbetrieb</w:t>
      </w:r>
      <w:r w:rsidRPr="00E92A75">
        <w:rPr>
          <w:rFonts w:ascii="Arial" w:hAnsi="Arial" w:cs="Arial"/>
        </w:rPr>
        <w:t>s für ausreichend Bereiche auf der Platzanlage, die eine Wahrung der Abstandsregeln zu jeder Zeit ermöglichen.</w:t>
      </w:r>
    </w:p>
    <w:p w14:paraId="1233BD7F" w14:textId="77777777" w:rsidR="00E92A75" w:rsidRPr="00E92A75" w:rsidRDefault="00E92A75" w:rsidP="00E92A75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Es wird auf die üblichen Rituale des Handschlags vor und nach einem Spiel verzichtet.</w:t>
      </w:r>
    </w:p>
    <w:p w14:paraId="65F9704D" w14:textId="77777777" w:rsidR="00E92A75" w:rsidRPr="00E92A75" w:rsidRDefault="00E92A75" w:rsidP="00E92A75">
      <w:pPr>
        <w:jc w:val="both"/>
        <w:rPr>
          <w:rFonts w:ascii="Arial" w:hAnsi="Arial" w:cs="Arial"/>
          <w:b/>
        </w:rPr>
      </w:pPr>
    </w:p>
    <w:p w14:paraId="2D561889" w14:textId="3348EF01" w:rsidR="00E92A75" w:rsidRPr="00E92A75" w:rsidRDefault="00E92A75" w:rsidP="00E92A75">
      <w:pPr>
        <w:jc w:val="both"/>
        <w:rPr>
          <w:rFonts w:ascii="Arial" w:hAnsi="Arial" w:cs="Arial"/>
          <w:b/>
        </w:rPr>
      </w:pPr>
      <w:r w:rsidRPr="00E92A75">
        <w:rPr>
          <w:rFonts w:ascii="Arial" w:hAnsi="Arial" w:cs="Arial"/>
          <w:b/>
        </w:rPr>
        <w:t>4. Rückverfolgbarkeit</w:t>
      </w:r>
    </w:p>
    <w:p w14:paraId="46E5F617" w14:textId="77777777" w:rsidR="00BC4F8B" w:rsidRDefault="00E92A75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 xml:space="preserve">Die </w:t>
      </w:r>
      <w:proofErr w:type="spellStart"/>
      <w:r w:rsidRPr="00E92A75">
        <w:rPr>
          <w:rFonts w:ascii="Arial" w:hAnsi="Arial" w:cs="Arial"/>
        </w:rPr>
        <w:t>TeilnehmerInnen</w:t>
      </w:r>
      <w:proofErr w:type="spellEnd"/>
      <w:r w:rsidRPr="00E92A75">
        <w:rPr>
          <w:rFonts w:ascii="Arial" w:hAnsi="Arial" w:cs="Arial"/>
        </w:rPr>
        <w:t xml:space="preserve"> eines </w:t>
      </w:r>
      <w:r w:rsidR="00385B2D">
        <w:rPr>
          <w:rFonts w:ascii="Arial" w:hAnsi="Arial" w:cs="Arial"/>
        </w:rPr>
        <w:t>Wettspiel- und Turnierbetrieb</w:t>
      </w:r>
      <w:r w:rsidRPr="00E92A75">
        <w:rPr>
          <w:rFonts w:ascii="Arial" w:hAnsi="Arial" w:cs="Arial"/>
        </w:rPr>
        <w:t xml:space="preserve">s werden über den Spielbericht erfasst. </w:t>
      </w:r>
    </w:p>
    <w:p w14:paraId="5AF7FC16" w14:textId="7F1EA240" w:rsidR="00E92A75" w:rsidRPr="00E92A75" w:rsidRDefault="00E92A75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Eine Rückverfolgung ist hierüber gewährleistet.</w:t>
      </w:r>
    </w:p>
    <w:p w14:paraId="2526638C" w14:textId="77777777" w:rsidR="00E92A75" w:rsidRPr="00E92A75" w:rsidRDefault="00E92A75" w:rsidP="00E92A75">
      <w:pPr>
        <w:jc w:val="both"/>
        <w:rPr>
          <w:rFonts w:ascii="Arial" w:hAnsi="Arial" w:cs="Arial"/>
        </w:rPr>
      </w:pPr>
    </w:p>
    <w:p w14:paraId="4CC5AB2E" w14:textId="27253F14" w:rsidR="00E92A75" w:rsidRPr="00E92A75" w:rsidRDefault="00E92A75" w:rsidP="00E92A75">
      <w:pPr>
        <w:jc w:val="both"/>
        <w:rPr>
          <w:rFonts w:ascii="Arial" w:hAnsi="Arial" w:cs="Arial"/>
          <w:b/>
        </w:rPr>
      </w:pPr>
      <w:r w:rsidRPr="00E92A75">
        <w:rPr>
          <w:rFonts w:ascii="Arial" w:hAnsi="Arial" w:cs="Arial"/>
          <w:b/>
        </w:rPr>
        <w:t xml:space="preserve">5. Räumliche Vorkehrungen zum </w:t>
      </w:r>
      <w:r w:rsidR="00385B2D">
        <w:rPr>
          <w:rFonts w:ascii="Arial" w:hAnsi="Arial" w:cs="Arial"/>
          <w:b/>
        </w:rPr>
        <w:t>Wettspiel- und Turnierbetrieb</w:t>
      </w:r>
    </w:p>
    <w:p w14:paraId="5644DBD3" w14:textId="31916F7C" w:rsidR="00E92A75" w:rsidRPr="00E92A75" w:rsidRDefault="00E92A75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 xml:space="preserve">Für die Vereinsräumlichkeiten gelten beim </w:t>
      </w:r>
      <w:r w:rsidR="00385B2D">
        <w:rPr>
          <w:rFonts w:ascii="Arial" w:hAnsi="Arial" w:cs="Arial"/>
        </w:rPr>
        <w:t>Wettspiel- und Turnierbetrieb</w:t>
      </w:r>
      <w:r w:rsidRPr="00E92A75">
        <w:rPr>
          <w:rFonts w:ascii="Arial" w:hAnsi="Arial" w:cs="Arial"/>
        </w:rPr>
        <w:t xml:space="preserve"> die gleichen Vorkehrungen zur Hygiene, zum Infektionsschutz sowie zur Steuerung des Zutritts und der Gewährung des Mindestabstands wie beim sonstigen Spiel- und Trainingsbetrieb</w:t>
      </w:r>
      <w:r w:rsidR="004D3872">
        <w:rPr>
          <w:rFonts w:ascii="Arial" w:hAnsi="Arial" w:cs="Arial"/>
        </w:rPr>
        <w:t xml:space="preserve">. </w:t>
      </w:r>
      <w:r w:rsidRPr="00E92A75">
        <w:rPr>
          <w:rFonts w:ascii="Arial" w:hAnsi="Arial" w:cs="Arial"/>
        </w:rPr>
        <w:t>Nach diesen Maßgaben sind auch Dusch-</w:t>
      </w:r>
      <w:r>
        <w:rPr>
          <w:rFonts w:ascii="Arial" w:hAnsi="Arial" w:cs="Arial"/>
        </w:rPr>
        <w:t xml:space="preserve"> </w:t>
      </w:r>
      <w:r w:rsidRPr="00E92A75">
        <w:rPr>
          <w:rFonts w:ascii="Arial" w:hAnsi="Arial" w:cs="Arial"/>
        </w:rPr>
        <w:t>und Waschräume sowie Umkleiden zu nutzen. Die entsprechenden Vorlagen zur Hygiene und Kennzeichnung von Räumlichkeiten sowie zur Zutrittssteuerung sind entsprechend zu verwenden und umzusetzen.</w:t>
      </w:r>
    </w:p>
    <w:p w14:paraId="2AB21EDF" w14:textId="77777777" w:rsidR="00E92A75" w:rsidRPr="00E92A75" w:rsidRDefault="00E92A75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Folgende Maßnahmen sind hierbei verbindlich umzusetzen:</w:t>
      </w:r>
    </w:p>
    <w:p w14:paraId="0E571619" w14:textId="77777777" w:rsidR="00E92A75" w:rsidRPr="00E92A75" w:rsidRDefault="00E92A75" w:rsidP="00E92A75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Auf der Platzanlage muss Gelegenheit zum Händewaschen geschaffen werden. Es ist ausreichend Seife bereitzustellen.</w:t>
      </w:r>
    </w:p>
    <w:p w14:paraId="3DF782B1" w14:textId="77777777" w:rsidR="00E92A75" w:rsidRPr="00E92A75" w:rsidRDefault="00E92A75" w:rsidP="00E92A75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Auf den Toiletten und im Eingangsbereich von Vereinsräumlichkeiten werden Desinfektionsmittel zur Handdesinfektion bereitgestellt.</w:t>
      </w:r>
    </w:p>
    <w:p w14:paraId="5B5D9053" w14:textId="0D851A22" w:rsidR="00E92A75" w:rsidRPr="00E92A75" w:rsidRDefault="00E92A75" w:rsidP="00E92A75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lastRenderedPageBreak/>
        <w:t>In sämtlichen geöffneten Vereinsräumlichkeiten sind Schilder</w:t>
      </w:r>
      <w:r w:rsidR="004D3872">
        <w:rPr>
          <w:rFonts w:ascii="Arial" w:hAnsi="Arial" w:cs="Arial"/>
        </w:rPr>
        <w:t xml:space="preserve"> </w:t>
      </w:r>
      <w:r w:rsidRPr="00E92A75">
        <w:rPr>
          <w:rFonts w:ascii="Arial" w:hAnsi="Arial" w:cs="Arial"/>
        </w:rPr>
        <w:t>mit dem Hinweis auf Abstandsregelungen gut sichtbar anzubringen.</w:t>
      </w:r>
    </w:p>
    <w:p w14:paraId="5C940E75" w14:textId="7DD2CA57" w:rsidR="004D3872" w:rsidRDefault="004D3872" w:rsidP="00E92A75">
      <w:pPr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Vereins- und Versammlungsräume und ähnliches bleiben geschlossen. </w:t>
      </w:r>
    </w:p>
    <w:p w14:paraId="465FB805" w14:textId="158F2177" w:rsidR="004D3872" w:rsidRDefault="004D3872" w:rsidP="004D3872">
      <w:pPr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Dusch- und Waschräume dürfen unter Beachtung der Empfehlungen des Robert-Koch-Instituts für Hygiene genutzt werden.</w:t>
      </w:r>
    </w:p>
    <w:p w14:paraId="2F03A22E" w14:textId="3FA0DC68" w:rsidR="004D3872" w:rsidRPr="004D3872" w:rsidRDefault="00C82E54" w:rsidP="004D3872">
      <w:pPr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D3872">
        <w:rPr>
          <w:rFonts w:ascii="Arial" w:hAnsi="Arial" w:cs="Arial"/>
        </w:rPr>
        <w:t>mkleiden dürfen von höchstens einer Person je angefangener fünf Quadratmeter Grundfläche werden.</w:t>
      </w:r>
    </w:p>
    <w:p w14:paraId="144ADB9B" w14:textId="77777777" w:rsidR="00600EE4" w:rsidRPr="00600EE4" w:rsidRDefault="00600EE4" w:rsidP="00600EE4">
      <w:pPr>
        <w:jc w:val="both"/>
        <w:rPr>
          <w:rFonts w:ascii="Arial" w:hAnsi="Arial" w:cs="Arial"/>
        </w:rPr>
      </w:pPr>
    </w:p>
    <w:p w14:paraId="0C5CBB77" w14:textId="77777777" w:rsidR="00E92A75" w:rsidRPr="00E92A75" w:rsidRDefault="00E92A75" w:rsidP="00E92A75">
      <w:pPr>
        <w:jc w:val="both"/>
        <w:rPr>
          <w:rFonts w:ascii="Arial" w:hAnsi="Arial" w:cs="Arial"/>
          <w:b/>
        </w:rPr>
      </w:pPr>
      <w:r w:rsidRPr="00E92A75">
        <w:rPr>
          <w:rFonts w:ascii="Arial" w:hAnsi="Arial" w:cs="Arial"/>
          <w:b/>
        </w:rPr>
        <w:t>6. Bewirtung bei Wettkämpfen</w:t>
      </w:r>
    </w:p>
    <w:p w14:paraId="681433D8" w14:textId="003E15A8" w:rsidR="00546380" w:rsidRPr="00546380" w:rsidRDefault="00E92A75" w:rsidP="008667F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46380">
        <w:rPr>
          <w:rFonts w:ascii="Arial" w:hAnsi="Arial" w:cs="Arial"/>
        </w:rPr>
        <w:t>Die Bewirtung von Personen ist nur von gastronomischen Betrieben zulässig.</w:t>
      </w:r>
      <w:r w:rsidR="00546380" w:rsidRPr="00546380">
        <w:rPr>
          <w:rFonts w:ascii="Arial" w:hAnsi="Arial" w:cs="Arial"/>
        </w:rPr>
        <w:t xml:space="preserve"> Hier gelten die aktuell geltenden Regeln für den Betrieb in Restaurants. Hierunter fällt auch </w:t>
      </w:r>
      <w:r w:rsidR="00546380">
        <w:rPr>
          <w:rFonts w:ascii="Arial" w:hAnsi="Arial" w:cs="Arial"/>
        </w:rPr>
        <w:t xml:space="preserve">das </w:t>
      </w:r>
      <w:r w:rsidR="00546380" w:rsidRPr="00546380">
        <w:rPr>
          <w:rFonts w:ascii="Arial" w:hAnsi="Arial" w:cs="Arial"/>
        </w:rPr>
        <w:t>obligatorische Essen nach dem Medenspiel</w:t>
      </w:r>
      <w:r w:rsidR="00546380">
        <w:rPr>
          <w:rFonts w:ascii="Arial" w:hAnsi="Arial" w:cs="Arial"/>
        </w:rPr>
        <w:t>. Es ist den Vereinen und Mannschaften selbstständig überlassen, ob dies durchgeführt werden kann.</w:t>
      </w:r>
    </w:p>
    <w:p w14:paraId="415DCD80" w14:textId="7475006A" w:rsidR="00B67AF0" w:rsidRPr="00E92A75" w:rsidRDefault="00B67AF0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Vereins- und Versam</w:t>
      </w:r>
      <w:r w:rsidR="00A65A53">
        <w:rPr>
          <w:rFonts w:ascii="Arial" w:hAnsi="Arial" w:cs="Arial"/>
        </w:rPr>
        <w:t>mlungsräume bleiben geschlossen.</w:t>
      </w:r>
      <w:r w:rsidR="00BC4F8B">
        <w:rPr>
          <w:rFonts w:ascii="Arial" w:hAnsi="Arial" w:cs="Arial"/>
        </w:rPr>
        <w:t xml:space="preserve"> </w:t>
      </w:r>
    </w:p>
    <w:p w14:paraId="2B75C1A3" w14:textId="479910AE" w:rsidR="00E92A75" w:rsidRDefault="00E92A75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Eine Eigenbewirtung ist nicht erlaubt.</w:t>
      </w:r>
      <w:r w:rsidR="00A65A53">
        <w:rPr>
          <w:rFonts w:ascii="Arial" w:hAnsi="Arial" w:cs="Arial"/>
        </w:rPr>
        <w:t xml:space="preserve"> Hierunter fällt auch das Angebot von selbst mitgebrachten Speisen und Getränken, die für die Mannschaften </w:t>
      </w:r>
      <w:r w:rsidR="00BC4F8B">
        <w:rPr>
          <w:rFonts w:ascii="Arial" w:hAnsi="Arial" w:cs="Arial"/>
        </w:rPr>
        <w:t>an einem bestimmten Ort auf der Anlage bereitgestellt werden</w:t>
      </w:r>
      <w:r w:rsidR="00AE01AF">
        <w:rPr>
          <w:rFonts w:ascii="Arial" w:hAnsi="Arial" w:cs="Arial"/>
        </w:rPr>
        <w:t>.</w:t>
      </w:r>
    </w:p>
    <w:p w14:paraId="4E875182" w14:textId="45429AAE" w:rsidR="00B67AF0" w:rsidRDefault="00BC4F8B" w:rsidP="00E92A7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Das Mitbringen von Speisen und Getränken (z. B. Bananen und Wasser) für den Eigenverzehr während des Tennisspielens ist erlaubt.</w:t>
      </w:r>
    </w:p>
    <w:p w14:paraId="2E50E2D7" w14:textId="701B287F" w:rsidR="00B270F7" w:rsidRDefault="00B270F7" w:rsidP="00B270F7">
      <w:pPr>
        <w:jc w:val="both"/>
        <w:rPr>
          <w:rFonts w:ascii="Arial" w:hAnsi="Arial" w:cs="Arial"/>
        </w:rPr>
      </w:pPr>
    </w:p>
    <w:p w14:paraId="5CED7A89" w14:textId="46C92D7A" w:rsidR="00B270F7" w:rsidRPr="00B270F7" w:rsidRDefault="00B270F7" w:rsidP="00B270F7">
      <w:pPr>
        <w:jc w:val="both"/>
        <w:rPr>
          <w:rFonts w:ascii="Arial" w:hAnsi="Arial" w:cs="Arial"/>
          <w:b/>
          <w:bCs/>
        </w:rPr>
      </w:pPr>
      <w:r w:rsidRPr="00B270F7">
        <w:rPr>
          <w:rFonts w:ascii="Arial" w:hAnsi="Arial" w:cs="Arial"/>
          <w:b/>
          <w:bCs/>
        </w:rPr>
        <w:t>7. Zuschauer</w:t>
      </w:r>
    </w:p>
    <w:p w14:paraId="107D9117" w14:textId="0E7B797C" w:rsidR="00B270F7" w:rsidRDefault="00B270F7" w:rsidP="00B270F7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Gemäß § 2 Abs. 2 der Verordnung sind Zuschauer weder beim Trainingsbetrieb noch bei Wettkämpfen aktuell gestattet. </w:t>
      </w:r>
    </w:p>
    <w:p w14:paraId="43D0F9A6" w14:textId="0B4E3E1B" w:rsidR="00B270F7" w:rsidRDefault="00B270F7" w:rsidP="00B270F7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10-Personen-Regel bezieht sich ausschließlich auf die Sporttreibenden oder Wettkämpfer</w:t>
      </w:r>
      <w:r w:rsidR="00BC4F8B">
        <w:rPr>
          <w:rFonts w:ascii="Arial" w:hAnsi="Arial" w:cs="Arial"/>
        </w:rPr>
        <w:t>.</w:t>
      </w:r>
    </w:p>
    <w:p w14:paraId="694FB705" w14:textId="3623C3C9" w:rsidR="00AE01AF" w:rsidRDefault="00BC4F8B" w:rsidP="00AE01AF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Organisation der Wettkämpfe auf der Anlage erfolgt über die Mannschaftsführer, Vereinsfunktionäre, Trainer, sportliche Leiter, Turnierveranstalter.</w:t>
      </w:r>
    </w:p>
    <w:p w14:paraId="151ABBA2" w14:textId="3D9CDF83" w:rsidR="00AE01AF" w:rsidRDefault="00AE01AF" w:rsidP="00AE01AF">
      <w:pPr>
        <w:jc w:val="both"/>
        <w:rPr>
          <w:rFonts w:ascii="Arial" w:hAnsi="Arial" w:cs="Arial"/>
        </w:rPr>
      </w:pPr>
    </w:p>
    <w:p w14:paraId="46377E21" w14:textId="5FBF3874" w:rsidR="00AE01AF" w:rsidRPr="00AE01AF" w:rsidRDefault="00AE01AF" w:rsidP="00AE01AF">
      <w:pPr>
        <w:jc w:val="both"/>
        <w:rPr>
          <w:rFonts w:ascii="Arial" w:hAnsi="Arial" w:cs="Arial"/>
          <w:b/>
          <w:bCs/>
        </w:rPr>
      </w:pPr>
      <w:r w:rsidRPr="00AE01AF">
        <w:rPr>
          <w:rFonts w:ascii="Arial" w:hAnsi="Arial" w:cs="Arial"/>
          <w:b/>
          <w:bCs/>
        </w:rPr>
        <w:t>8. Witterungsverhältnisse</w:t>
      </w:r>
    </w:p>
    <w:p w14:paraId="096B3C59" w14:textId="2784AA9F" w:rsidR="00AE01AF" w:rsidRDefault="00AE01AF" w:rsidP="00AE01AF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Vereins- und Versammlungsräume dürfen nicht</w:t>
      </w:r>
      <w:r w:rsidR="00441FF7">
        <w:rPr>
          <w:rFonts w:ascii="Arial" w:hAnsi="Arial" w:cs="Arial"/>
        </w:rPr>
        <w:t xml:space="preserve"> zum Unterstellen (z. B. bei Regen)</w:t>
      </w:r>
      <w:r>
        <w:rPr>
          <w:rFonts w:ascii="Arial" w:hAnsi="Arial" w:cs="Arial"/>
        </w:rPr>
        <w:t xml:space="preserve"> genutzt werden.</w:t>
      </w:r>
    </w:p>
    <w:p w14:paraId="45E596C1" w14:textId="10C519A1" w:rsidR="00AE01AF" w:rsidRPr="00441FF7" w:rsidRDefault="00AE01AF" w:rsidP="00AE01AF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gewerbliche Gastronomie </w:t>
      </w:r>
      <w:r w:rsidR="00441FF7">
        <w:rPr>
          <w:rFonts w:ascii="Arial" w:hAnsi="Arial" w:cs="Arial"/>
        </w:rPr>
        <w:t>darf zum Unterstellen benutzt werden. Hier gelten wiederum die aktuell geltenden Regeln für den Betrieb in Restaurants.</w:t>
      </w:r>
    </w:p>
    <w:p w14:paraId="5F9254EB" w14:textId="77777777" w:rsidR="00E92A75" w:rsidRPr="00E92A75" w:rsidRDefault="00E92A75" w:rsidP="00E92A75">
      <w:pPr>
        <w:jc w:val="both"/>
        <w:rPr>
          <w:rFonts w:ascii="Arial" w:hAnsi="Arial" w:cs="Arial"/>
        </w:rPr>
      </w:pPr>
    </w:p>
    <w:p w14:paraId="0BD098E3" w14:textId="566F57AB" w:rsidR="00E92A75" w:rsidRPr="00E92A75" w:rsidRDefault="00E92A75" w:rsidP="00E92A75">
      <w:p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Die vorgenannten Regelungen gelten für die Dauer der aktuell gültigen Verordnung</w:t>
      </w:r>
      <w:r w:rsidR="00BC4F8B">
        <w:rPr>
          <w:rFonts w:ascii="Arial" w:hAnsi="Arial" w:cs="Arial"/>
        </w:rPr>
        <w:t xml:space="preserve">, welche bis zum </w:t>
      </w:r>
      <w:r w:rsidR="00BC4F8B" w:rsidRPr="00BC4F8B">
        <w:rPr>
          <w:rFonts w:ascii="Arial" w:hAnsi="Arial" w:cs="Arial"/>
          <w:b/>
          <w:bCs/>
        </w:rPr>
        <w:t>05.07.2020</w:t>
      </w:r>
      <w:r w:rsidR="00BC4F8B">
        <w:rPr>
          <w:rFonts w:ascii="Arial" w:hAnsi="Arial" w:cs="Arial"/>
        </w:rPr>
        <w:t xml:space="preserve"> gültig ist. </w:t>
      </w:r>
      <w:r w:rsidRPr="00E92A75">
        <w:rPr>
          <w:rFonts w:ascii="Arial" w:hAnsi="Arial" w:cs="Arial"/>
        </w:rPr>
        <w:t>Aktualisierungen während des Saisonverlaufs werden den beteiligten Vereinen unverzüglich mitgeteilt und sind sodann entsprechend umzusetzen.</w:t>
      </w:r>
    </w:p>
    <w:bookmarkEnd w:id="0"/>
    <w:p w14:paraId="1786D6EB" w14:textId="77777777" w:rsidR="00E92A75" w:rsidRPr="00E92A75" w:rsidRDefault="00E92A75" w:rsidP="00E92A75">
      <w:pPr>
        <w:jc w:val="both"/>
        <w:rPr>
          <w:rFonts w:ascii="Arial" w:hAnsi="Arial" w:cs="Arial"/>
        </w:rPr>
      </w:pPr>
    </w:p>
    <w:p w14:paraId="2AEFAF98" w14:textId="77777777" w:rsidR="00E92A75" w:rsidRPr="00E92A75" w:rsidRDefault="00E92A75" w:rsidP="00E92A75">
      <w:p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>Hessischer Tennis-Verband e.V.</w:t>
      </w:r>
    </w:p>
    <w:p w14:paraId="483012DD" w14:textId="60A1E4B8" w:rsidR="00E92A75" w:rsidRPr="00E92A75" w:rsidRDefault="00E92A75" w:rsidP="00E92A75">
      <w:pPr>
        <w:jc w:val="both"/>
        <w:rPr>
          <w:rFonts w:ascii="Arial" w:hAnsi="Arial" w:cs="Arial"/>
        </w:rPr>
      </w:pPr>
      <w:r w:rsidRPr="00E92A75">
        <w:rPr>
          <w:rFonts w:ascii="Arial" w:hAnsi="Arial" w:cs="Arial"/>
        </w:rPr>
        <w:t xml:space="preserve">Offenbach, </w:t>
      </w:r>
      <w:r w:rsidR="004D3872">
        <w:rPr>
          <w:rFonts w:ascii="Arial" w:hAnsi="Arial" w:cs="Arial"/>
        </w:rPr>
        <w:t>10</w:t>
      </w:r>
      <w:r w:rsidRPr="00E92A75">
        <w:rPr>
          <w:rFonts w:ascii="Arial" w:hAnsi="Arial" w:cs="Arial"/>
        </w:rPr>
        <w:t>.06.2020</w:t>
      </w:r>
    </w:p>
    <w:p w14:paraId="036DB11F" w14:textId="17D87D7A" w:rsidR="00876424" w:rsidRPr="00E92A75" w:rsidRDefault="00876424" w:rsidP="00E92A75">
      <w:pPr>
        <w:rPr>
          <w:rFonts w:ascii="Arial" w:hAnsi="Arial" w:cs="Arial"/>
        </w:rPr>
      </w:pPr>
    </w:p>
    <w:sectPr w:rsidR="00876424" w:rsidRPr="00E92A75" w:rsidSect="001237A6">
      <w:headerReference w:type="default" r:id="rId7"/>
      <w:footerReference w:type="default" r:id="rId8"/>
      <w:pgSz w:w="11906" w:h="16838" w:code="9"/>
      <w:pgMar w:top="3119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04BAB" w14:textId="77777777" w:rsidR="008D28E9" w:rsidRDefault="008D28E9">
      <w:r>
        <w:separator/>
      </w:r>
    </w:p>
  </w:endnote>
  <w:endnote w:type="continuationSeparator" w:id="0">
    <w:p w14:paraId="346C2487" w14:textId="77777777" w:rsidR="008D28E9" w:rsidRDefault="008D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41877" w14:textId="77777777" w:rsidR="0007512B" w:rsidRDefault="0007512B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 wp14:anchorId="2B6BA0E6" wp14:editId="5B086062">
              <wp:extent cx="5467350" cy="9525"/>
              <wp:effectExtent l="0" t="0" r="0" b="9525"/>
              <wp:docPr id="648" name="AutoForm 1" descr="Horizontal he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952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<w:pict>
            <v:shapetype w14:anchorId="21A2530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1026" type="#_x0000_t110" alt="Horizontal hell" style="width:430.5pt;height: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" fillcolor="black" stroked="f">
              <v:fill r:id="rId1" o:title="" type="pattern"/>
              <w10:anchorlock/>
            </v:shape>
          </w:pict>
        </mc:Fallback>
      </mc:AlternateContent>
    </w:r>
  </w:p>
  <w:p w14:paraId="1F6B4282" w14:textId="77777777" w:rsidR="0007512B" w:rsidRPr="009617BD" w:rsidRDefault="0007512B">
    <w:pPr>
      <w:pStyle w:val="Fuzeile"/>
      <w:jc w:val="center"/>
      <w:rPr>
        <w:rFonts w:ascii="Helvetica" w:hAnsi="Helvetica"/>
      </w:rPr>
    </w:pPr>
  </w:p>
  <w:p w14:paraId="70E32E52" w14:textId="77777777" w:rsidR="0007512B" w:rsidRPr="009617BD" w:rsidRDefault="0007512B">
    <w:pPr>
      <w:pStyle w:val="Fuzeile"/>
      <w:jc w:val="center"/>
      <w:rPr>
        <w:rFonts w:ascii="Helvetica" w:hAnsi="Helvetica"/>
      </w:rPr>
    </w:pPr>
  </w:p>
  <w:p w14:paraId="5674E95D" w14:textId="77777777" w:rsidR="0007512B" w:rsidRDefault="0007512B" w:rsidP="00D11EB6">
    <w:pPr>
      <w:spacing w:after="60"/>
      <w:ind w:right="-425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1C26" w14:textId="77777777" w:rsidR="008D28E9" w:rsidRDefault="008D28E9">
      <w:r>
        <w:separator/>
      </w:r>
    </w:p>
  </w:footnote>
  <w:footnote w:type="continuationSeparator" w:id="0">
    <w:p w14:paraId="640AFB3B" w14:textId="77777777" w:rsidR="008D28E9" w:rsidRDefault="008D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EC0D" w14:textId="77777777" w:rsidR="0007512B" w:rsidRDefault="0007512B">
    <w:pPr>
      <w:pStyle w:val="Kopfzeile"/>
    </w:pPr>
  </w:p>
  <w:tbl>
    <w:tblPr>
      <w:tblW w:w="0" w:type="auto"/>
      <w:tblLook w:val="04A0" w:firstRow="1" w:lastRow="0" w:firstColumn="1" w:lastColumn="0" w:noHBand="0" w:noVBand="1"/>
    </w:tblPr>
    <w:tblGrid>
      <w:gridCol w:w="3320"/>
      <w:gridCol w:w="3159"/>
      <w:gridCol w:w="3159"/>
    </w:tblGrid>
    <w:tr w:rsidR="0007512B" w14:paraId="27EE28A7" w14:textId="77777777" w:rsidTr="000850D1">
      <w:tc>
        <w:tcPr>
          <w:tcW w:w="3328" w:type="dxa"/>
          <w:shd w:val="clear" w:color="auto" w:fill="auto"/>
        </w:tcPr>
        <w:p w14:paraId="3D38A047" w14:textId="4B70351F" w:rsidR="0007512B" w:rsidRDefault="004359A7">
          <w:pPr>
            <w:pStyle w:val="Kopfzeile"/>
          </w:pPr>
          <w:r>
            <w:rPr>
              <w:noProof/>
            </w:rPr>
            <w:drawing>
              <wp:inline distT="0" distB="0" distL="0" distR="0" wp14:anchorId="2AB2B6F6" wp14:editId="3D56D3CE">
                <wp:extent cx="1887316" cy="792000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TV kle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316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699517" w14:textId="77777777" w:rsidR="0007512B" w:rsidRDefault="0007512B">
          <w:pPr>
            <w:pStyle w:val="Kopfzeile"/>
          </w:pPr>
        </w:p>
      </w:tc>
      <w:tc>
        <w:tcPr>
          <w:tcW w:w="3329" w:type="dxa"/>
          <w:shd w:val="clear" w:color="auto" w:fill="auto"/>
        </w:tcPr>
        <w:p w14:paraId="2D897045" w14:textId="77777777" w:rsidR="0007512B" w:rsidRDefault="0007512B" w:rsidP="000850D1">
          <w:pPr>
            <w:pStyle w:val="Kopfzeile"/>
            <w:jc w:val="center"/>
          </w:pPr>
        </w:p>
      </w:tc>
      <w:tc>
        <w:tcPr>
          <w:tcW w:w="3329" w:type="dxa"/>
          <w:shd w:val="clear" w:color="auto" w:fill="auto"/>
        </w:tcPr>
        <w:p w14:paraId="0CA4C389" w14:textId="31A262E0" w:rsidR="0007512B" w:rsidRPr="006F2DEC" w:rsidRDefault="0007512B" w:rsidP="006F2DEC">
          <w:pPr>
            <w:pStyle w:val="Kopfzeile"/>
            <w:jc w:val="right"/>
          </w:pPr>
        </w:p>
      </w:tc>
    </w:tr>
  </w:tbl>
  <w:p w14:paraId="769A45E3" w14:textId="77777777" w:rsidR="0007512B" w:rsidRPr="001D7A56" w:rsidRDefault="0007512B" w:rsidP="006D60B6">
    <w:pPr>
      <w:pStyle w:val="Kopfzeile"/>
      <w:pBdr>
        <w:bottom w:val="single" w:sz="4" w:space="1" w:color="auto"/>
      </w:pBdr>
      <w:rPr>
        <w:sz w:val="4"/>
        <w:szCs w:val="4"/>
      </w:rPr>
    </w:pPr>
    <w:r w:rsidRPr="001D7A56">
      <w:rPr>
        <w:sz w:val="4"/>
        <w:szCs w:val="4"/>
      </w:rPr>
      <w:tab/>
    </w:r>
  </w:p>
  <w:p w14:paraId="177810A6" w14:textId="77777777" w:rsidR="0007512B" w:rsidRDefault="0007512B">
    <w:pPr>
      <w:pStyle w:val="Kopfzeile"/>
    </w:pPr>
    <w: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2E5"/>
    <w:multiLevelType w:val="hybridMultilevel"/>
    <w:tmpl w:val="ADBC8AFC"/>
    <w:lvl w:ilvl="0" w:tplc="2C7CD4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26A7"/>
    <w:multiLevelType w:val="hybridMultilevel"/>
    <w:tmpl w:val="8E8C0D96"/>
    <w:lvl w:ilvl="0" w:tplc="DCE848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7ADC"/>
    <w:multiLevelType w:val="hybridMultilevel"/>
    <w:tmpl w:val="D4DA6C0E"/>
    <w:lvl w:ilvl="0" w:tplc="C0B21D9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sz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1160"/>
    <w:multiLevelType w:val="hybridMultilevel"/>
    <w:tmpl w:val="6D0841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19B4"/>
    <w:multiLevelType w:val="hybridMultilevel"/>
    <w:tmpl w:val="AE4AF8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7FE6367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7FE63670">
      <w:start w:val="1"/>
      <w:numFmt w:val="bullet"/>
      <w:lvlText w:val=""/>
      <w:lvlJc w:val="left"/>
      <w:pPr>
        <w:ind w:left="2160" w:hanging="18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D80"/>
    <w:multiLevelType w:val="hybridMultilevel"/>
    <w:tmpl w:val="175EC048"/>
    <w:lvl w:ilvl="0" w:tplc="40464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07DCE"/>
    <w:multiLevelType w:val="hybridMultilevel"/>
    <w:tmpl w:val="492A64B0"/>
    <w:lvl w:ilvl="0" w:tplc="5B0A2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A6D9F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84CDB"/>
    <w:multiLevelType w:val="hybridMultilevel"/>
    <w:tmpl w:val="DF788B7E"/>
    <w:lvl w:ilvl="0" w:tplc="F082423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  <w:i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112620"/>
    <w:multiLevelType w:val="hybridMultilevel"/>
    <w:tmpl w:val="A426E708"/>
    <w:lvl w:ilvl="0" w:tplc="490CDBC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/>
        <w:i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F93DEE"/>
    <w:multiLevelType w:val="hybridMultilevel"/>
    <w:tmpl w:val="1F905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60"/>
    <w:rsid w:val="00000443"/>
    <w:rsid w:val="0000605E"/>
    <w:rsid w:val="00012398"/>
    <w:rsid w:val="00014DB5"/>
    <w:rsid w:val="0007512B"/>
    <w:rsid w:val="00084DD8"/>
    <w:rsid w:val="000850D1"/>
    <w:rsid w:val="000A02F5"/>
    <w:rsid w:val="000C2D9F"/>
    <w:rsid w:val="000C3BC1"/>
    <w:rsid w:val="000E7101"/>
    <w:rsid w:val="000E7A99"/>
    <w:rsid w:val="0011578A"/>
    <w:rsid w:val="00116956"/>
    <w:rsid w:val="0012236F"/>
    <w:rsid w:val="0012346A"/>
    <w:rsid w:val="001237A6"/>
    <w:rsid w:val="0014538A"/>
    <w:rsid w:val="00154488"/>
    <w:rsid w:val="00170EF2"/>
    <w:rsid w:val="001A3CF6"/>
    <w:rsid w:val="001A70F4"/>
    <w:rsid w:val="001C7496"/>
    <w:rsid w:val="001D7A56"/>
    <w:rsid w:val="00207B07"/>
    <w:rsid w:val="00213472"/>
    <w:rsid w:val="0023097A"/>
    <w:rsid w:val="00235E4B"/>
    <w:rsid w:val="0024539A"/>
    <w:rsid w:val="00254809"/>
    <w:rsid w:val="0025616C"/>
    <w:rsid w:val="0026703D"/>
    <w:rsid w:val="002928DA"/>
    <w:rsid w:val="002A4EC4"/>
    <w:rsid w:val="00302171"/>
    <w:rsid w:val="003079B7"/>
    <w:rsid w:val="00314FE8"/>
    <w:rsid w:val="00315989"/>
    <w:rsid w:val="00345FA8"/>
    <w:rsid w:val="00350CC7"/>
    <w:rsid w:val="00353D91"/>
    <w:rsid w:val="00354890"/>
    <w:rsid w:val="00365847"/>
    <w:rsid w:val="00372D16"/>
    <w:rsid w:val="00384A61"/>
    <w:rsid w:val="00385B2D"/>
    <w:rsid w:val="00393B14"/>
    <w:rsid w:val="00393FB0"/>
    <w:rsid w:val="003B0385"/>
    <w:rsid w:val="003B22E5"/>
    <w:rsid w:val="003B79B5"/>
    <w:rsid w:val="003D37BF"/>
    <w:rsid w:val="004011EA"/>
    <w:rsid w:val="00403FBF"/>
    <w:rsid w:val="004109F7"/>
    <w:rsid w:val="004359A7"/>
    <w:rsid w:val="00437108"/>
    <w:rsid w:val="00441FF7"/>
    <w:rsid w:val="00450BF1"/>
    <w:rsid w:val="00463D6B"/>
    <w:rsid w:val="004755F9"/>
    <w:rsid w:val="0047621A"/>
    <w:rsid w:val="00491196"/>
    <w:rsid w:val="0049424C"/>
    <w:rsid w:val="004B6B22"/>
    <w:rsid w:val="004C27EA"/>
    <w:rsid w:val="004C305B"/>
    <w:rsid w:val="004C4C37"/>
    <w:rsid w:val="004D3872"/>
    <w:rsid w:val="004E38E1"/>
    <w:rsid w:val="004F4686"/>
    <w:rsid w:val="004F7593"/>
    <w:rsid w:val="00521C3C"/>
    <w:rsid w:val="00524764"/>
    <w:rsid w:val="0052692B"/>
    <w:rsid w:val="005440EB"/>
    <w:rsid w:val="00546380"/>
    <w:rsid w:val="005533B4"/>
    <w:rsid w:val="00596BC3"/>
    <w:rsid w:val="005A5D80"/>
    <w:rsid w:val="005C1E01"/>
    <w:rsid w:val="005E2D9C"/>
    <w:rsid w:val="00600EE4"/>
    <w:rsid w:val="00613554"/>
    <w:rsid w:val="00627A74"/>
    <w:rsid w:val="00643390"/>
    <w:rsid w:val="00643BED"/>
    <w:rsid w:val="0065679E"/>
    <w:rsid w:val="00675BD4"/>
    <w:rsid w:val="0067770A"/>
    <w:rsid w:val="0068166D"/>
    <w:rsid w:val="00691FCD"/>
    <w:rsid w:val="00694313"/>
    <w:rsid w:val="00697080"/>
    <w:rsid w:val="006B6F73"/>
    <w:rsid w:val="006C2E2C"/>
    <w:rsid w:val="006D1843"/>
    <w:rsid w:val="006D60B6"/>
    <w:rsid w:val="006E1F8A"/>
    <w:rsid w:val="006E777C"/>
    <w:rsid w:val="006F2D0E"/>
    <w:rsid w:val="006F2DEC"/>
    <w:rsid w:val="006F3D2F"/>
    <w:rsid w:val="006F653A"/>
    <w:rsid w:val="00704108"/>
    <w:rsid w:val="00705C10"/>
    <w:rsid w:val="007069BC"/>
    <w:rsid w:val="007333BB"/>
    <w:rsid w:val="00735375"/>
    <w:rsid w:val="00741682"/>
    <w:rsid w:val="00741E39"/>
    <w:rsid w:val="00753868"/>
    <w:rsid w:val="00766A06"/>
    <w:rsid w:val="00772BFA"/>
    <w:rsid w:val="00781E01"/>
    <w:rsid w:val="007827D8"/>
    <w:rsid w:val="007A3917"/>
    <w:rsid w:val="007A5685"/>
    <w:rsid w:val="007C69CE"/>
    <w:rsid w:val="007C7F9F"/>
    <w:rsid w:val="00802302"/>
    <w:rsid w:val="00825BAD"/>
    <w:rsid w:val="008273C0"/>
    <w:rsid w:val="00834A9A"/>
    <w:rsid w:val="008369C2"/>
    <w:rsid w:val="00847B14"/>
    <w:rsid w:val="00850060"/>
    <w:rsid w:val="0085047B"/>
    <w:rsid w:val="0086039B"/>
    <w:rsid w:val="00874C17"/>
    <w:rsid w:val="00875CE2"/>
    <w:rsid w:val="00876424"/>
    <w:rsid w:val="00877978"/>
    <w:rsid w:val="008825BF"/>
    <w:rsid w:val="00886DDB"/>
    <w:rsid w:val="00894635"/>
    <w:rsid w:val="008A2349"/>
    <w:rsid w:val="008B4B0B"/>
    <w:rsid w:val="008C0008"/>
    <w:rsid w:val="008C5A5C"/>
    <w:rsid w:val="008C7880"/>
    <w:rsid w:val="008D006D"/>
    <w:rsid w:val="008D07A7"/>
    <w:rsid w:val="008D28E9"/>
    <w:rsid w:val="008D4D90"/>
    <w:rsid w:val="0090049D"/>
    <w:rsid w:val="009014EA"/>
    <w:rsid w:val="009035D0"/>
    <w:rsid w:val="00904706"/>
    <w:rsid w:val="00906A18"/>
    <w:rsid w:val="00925D92"/>
    <w:rsid w:val="00927EE1"/>
    <w:rsid w:val="00950C47"/>
    <w:rsid w:val="0095425C"/>
    <w:rsid w:val="009617BD"/>
    <w:rsid w:val="00971B14"/>
    <w:rsid w:val="00997755"/>
    <w:rsid w:val="009A010B"/>
    <w:rsid w:val="009A0935"/>
    <w:rsid w:val="009A1145"/>
    <w:rsid w:val="009A3377"/>
    <w:rsid w:val="009B09A5"/>
    <w:rsid w:val="009B09E7"/>
    <w:rsid w:val="009B10C7"/>
    <w:rsid w:val="009B1D03"/>
    <w:rsid w:val="009B24A9"/>
    <w:rsid w:val="009B4E98"/>
    <w:rsid w:val="009F0C04"/>
    <w:rsid w:val="009F33DD"/>
    <w:rsid w:val="009F43F6"/>
    <w:rsid w:val="009F6BC4"/>
    <w:rsid w:val="009F7B50"/>
    <w:rsid w:val="00A04F8D"/>
    <w:rsid w:val="00A24392"/>
    <w:rsid w:val="00A32AC2"/>
    <w:rsid w:val="00A33D88"/>
    <w:rsid w:val="00A40C3C"/>
    <w:rsid w:val="00A4506E"/>
    <w:rsid w:val="00A65A53"/>
    <w:rsid w:val="00A9216B"/>
    <w:rsid w:val="00AA0181"/>
    <w:rsid w:val="00AA034B"/>
    <w:rsid w:val="00AB06E1"/>
    <w:rsid w:val="00AB1FF7"/>
    <w:rsid w:val="00AB71C4"/>
    <w:rsid w:val="00AC7410"/>
    <w:rsid w:val="00AC7FA6"/>
    <w:rsid w:val="00AD0705"/>
    <w:rsid w:val="00AD0C4D"/>
    <w:rsid w:val="00AE01AF"/>
    <w:rsid w:val="00AE0DC5"/>
    <w:rsid w:val="00B0349D"/>
    <w:rsid w:val="00B270F7"/>
    <w:rsid w:val="00B34980"/>
    <w:rsid w:val="00B34CE3"/>
    <w:rsid w:val="00B41519"/>
    <w:rsid w:val="00B52418"/>
    <w:rsid w:val="00B67AF0"/>
    <w:rsid w:val="00B725A1"/>
    <w:rsid w:val="00B75842"/>
    <w:rsid w:val="00B8416B"/>
    <w:rsid w:val="00B8435D"/>
    <w:rsid w:val="00B93F40"/>
    <w:rsid w:val="00B97B6E"/>
    <w:rsid w:val="00BA339D"/>
    <w:rsid w:val="00BC4F8B"/>
    <w:rsid w:val="00BC7E30"/>
    <w:rsid w:val="00BD33F7"/>
    <w:rsid w:val="00BD4388"/>
    <w:rsid w:val="00BD453B"/>
    <w:rsid w:val="00BD60FB"/>
    <w:rsid w:val="00BD64E1"/>
    <w:rsid w:val="00BE721F"/>
    <w:rsid w:val="00BE7392"/>
    <w:rsid w:val="00C042E0"/>
    <w:rsid w:val="00C0799D"/>
    <w:rsid w:val="00C15F0B"/>
    <w:rsid w:val="00C16027"/>
    <w:rsid w:val="00C20D2D"/>
    <w:rsid w:val="00C21703"/>
    <w:rsid w:val="00C21AED"/>
    <w:rsid w:val="00C423E1"/>
    <w:rsid w:val="00C82CF7"/>
    <w:rsid w:val="00C82E54"/>
    <w:rsid w:val="00C9053D"/>
    <w:rsid w:val="00C90D48"/>
    <w:rsid w:val="00C93AF9"/>
    <w:rsid w:val="00CA35AB"/>
    <w:rsid w:val="00CB0926"/>
    <w:rsid w:val="00CB1AD1"/>
    <w:rsid w:val="00CB7A69"/>
    <w:rsid w:val="00CC3333"/>
    <w:rsid w:val="00CD30D9"/>
    <w:rsid w:val="00D01CBA"/>
    <w:rsid w:val="00D11EB6"/>
    <w:rsid w:val="00D2605D"/>
    <w:rsid w:val="00D3032B"/>
    <w:rsid w:val="00D45654"/>
    <w:rsid w:val="00D5088F"/>
    <w:rsid w:val="00D60DB8"/>
    <w:rsid w:val="00D61097"/>
    <w:rsid w:val="00D702B9"/>
    <w:rsid w:val="00D85FD5"/>
    <w:rsid w:val="00DA083F"/>
    <w:rsid w:val="00DC16E3"/>
    <w:rsid w:val="00DC4ACF"/>
    <w:rsid w:val="00DD1809"/>
    <w:rsid w:val="00DD541A"/>
    <w:rsid w:val="00DD6917"/>
    <w:rsid w:val="00DE7DA2"/>
    <w:rsid w:val="00DF40F8"/>
    <w:rsid w:val="00E01ABD"/>
    <w:rsid w:val="00E05B9A"/>
    <w:rsid w:val="00E12F14"/>
    <w:rsid w:val="00E21088"/>
    <w:rsid w:val="00E21AE7"/>
    <w:rsid w:val="00E2363B"/>
    <w:rsid w:val="00E245A7"/>
    <w:rsid w:val="00E37A35"/>
    <w:rsid w:val="00E42544"/>
    <w:rsid w:val="00E4615E"/>
    <w:rsid w:val="00E464FC"/>
    <w:rsid w:val="00E5034C"/>
    <w:rsid w:val="00E553CA"/>
    <w:rsid w:val="00E55AEB"/>
    <w:rsid w:val="00E92A75"/>
    <w:rsid w:val="00E93FE1"/>
    <w:rsid w:val="00EB2C14"/>
    <w:rsid w:val="00EB46FB"/>
    <w:rsid w:val="00EC372A"/>
    <w:rsid w:val="00ED4F13"/>
    <w:rsid w:val="00ED4F46"/>
    <w:rsid w:val="00EE7B56"/>
    <w:rsid w:val="00F03F9B"/>
    <w:rsid w:val="00F10A77"/>
    <w:rsid w:val="00F13A9E"/>
    <w:rsid w:val="00F1559F"/>
    <w:rsid w:val="00F16C42"/>
    <w:rsid w:val="00F17724"/>
    <w:rsid w:val="00F34D4A"/>
    <w:rsid w:val="00F61868"/>
    <w:rsid w:val="00F64CFC"/>
    <w:rsid w:val="00FA44F8"/>
    <w:rsid w:val="00FB34FF"/>
    <w:rsid w:val="00FC7C65"/>
    <w:rsid w:val="00FD3769"/>
    <w:rsid w:val="00FE40C2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D8A1F"/>
  <w15:docId w15:val="{0643DCD0-466E-4696-BAC3-E5CD4EFC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060"/>
  </w:style>
  <w:style w:type="paragraph" w:styleId="berschrift1">
    <w:name w:val="heading 1"/>
    <w:basedOn w:val="Standard"/>
    <w:next w:val="Standard"/>
    <w:qFormat/>
    <w:rsid w:val="00850060"/>
    <w:pPr>
      <w:keepNext/>
      <w:framePr w:w="2888" w:h="2065" w:hSpace="141" w:wrap="around" w:vAnchor="text" w:hAnchor="page" w:x="8058" w:y="195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850060"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A11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B6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B6F73"/>
    <w:pPr>
      <w:tabs>
        <w:tab w:val="center" w:pos="4536"/>
        <w:tab w:val="right" w:pos="9072"/>
      </w:tabs>
    </w:pPr>
  </w:style>
  <w:style w:type="character" w:styleId="Hyperlink">
    <w:name w:val="Hyperlink"/>
    <w:rsid w:val="008D4D90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DD1809"/>
  </w:style>
  <w:style w:type="character" w:styleId="BesuchterHyperlink">
    <w:name w:val="FollowedHyperlink"/>
    <w:rsid w:val="0024539A"/>
    <w:rPr>
      <w:color w:val="800080"/>
      <w:u w:val="single"/>
    </w:rPr>
  </w:style>
  <w:style w:type="paragraph" w:styleId="Listenabsatz">
    <w:name w:val="List Paragraph"/>
    <w:basedOn w:val="Standard"/>
    <w:qFormat/>
    <w:rsid w:val="009A3377"/>
    <w:pPr>
      <w:ind w:left="720"/>
      <w:contextualSpacing/>
    </w:pPr>
  </w:style>
  <w:style w:type="paragraph" w:styleId="HTMLVorformatiert">
    <w:name w:val="HTML Preformatted"/>
    <w:basedOn w:val="Standard"/>
    <w:rsid w:val="00207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1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34A9A"/>
    <w:pPr>
      <w:spacing w:before="100" w:beforeAutospacing="1" w:after="100" w:afterAutospacing="1"/>
    </w:pPr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302171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02171"/>
    <w:rPr>
      <w:rFonts w:ascii="Calibri" w:hAnsi="Calibri"/>
      <w:sz w:val="22"/>
      <w:szCs w:val="21"/>
    </w:rPr>
  </w:style>
  <w:style w:type="paragraph" w:styleId="Textkrper3">
    <w:name w:val="Body Text 3"/>
    <w:basedOn w:val="Standard"/>
    <w:link w:val="Textkrper3Zchn"/>
    <w:rsid w:val="0007512B"/>
    <w:pPr>
      <w:spacing w:line="280" w:lineRule="atLeast"/>
      <w:jc w:val="center"/>
    </w:pPr>
    <w:rPr>
      <w:rFonts w:ascii="Comic Sans MS" w:hAnsi="Comic Sans MS"/>
      <w:sz w:val="26"/>
    </w:rPr>
  </w:style>
  <w:style w:type="character" w:customStyle="1" w:styleId="Textkrper3Zchn">
    <w:name w:val="Textkörper 3 Zchn"/>
    <w:basedOn w:val="Absatz-Standardschriftart"/>
    <w:link w:val="Textkrper3"/>
    <w:rsid w:val="0007512B"/>
    <w:rPr>
      <w:rFonts w:ascii="Comic Sans MS" w:hAnsi="Comic Sans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HTV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Schäfer</dc:creator>
  <cp:lastModifiedBy>Peter</cp:lastModifiedBy>
  <cp:revision>2</cp:revision>
  <cp:lastPrinted>2017-05-17T08:32:00Z</cp:lastPrinted>
  <dcterms:created xsi:type="dcterms:W3CDTF">2020-06-18T11:41:00Z</dcterms:created>
  <dcterms:modified xsi:type="dcterms:W3CDTF">2020-06-18T11:41:00Z</dcterms:modified>
</cp:coreProperties>
</file>